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CD" w:rsidRDefault="00A908CD" w:rsidP="00A908C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2827020" cy="609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-Logo-RGB2 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515" cy="60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8CD" w:rsidRDefault="00A908CD" w:rsidP="00875E81">
      <w:pPr>
        <w:rPr>
          <w:b/>
          <w:sz w:val="24"/>
          <w:szCs w:val="24"/>
        </w:rPr>
      </w:pPr>
    </w:p>
    <w:p w:rsidR="00B76373" w:rsidRPr="00875E81" w:rsidRDefault="004C301C" w:rsidP="00A908CD">
      <w:pPr>
        <w:jc w:val="center"/>
        <w:rPr>
          <w:b/>
        </w:rPr>
      </w:pPr>
      <w:r w:rsidRPr="00875E81">
        <w:rPr>
          <w:b/>
        </w:rPr>
        <w:t>2018</w:t>
      </w:r>
      <w:r w:rsidR="00856642" w:rsidRPr="00875E81">
        <w:rPr>
          <w:b/>
        </w:rPr>
        <w:t xml:space="preserve"> COST-OF-LIVING ADJUSTMENTS FOR QUALIFIED </w:t>
      </w:r>
      <w:r w:rsidR="00192E99" w:rsidRPr="00875E81">
        <w:rPr>
          <w:b/>
        </w:rPr>
        <w:t>RETIREMENT PLANS</w:t>
      </w:r>
    </w:p>
    <w:p w:rsidR="00192E99" w:rsidRPr="00875E81" w:rsidRDefault="00192E99" w:rsidP="00A908CD">
      <w:pPr>
        <w:jc w:val="center"/>
      </w:pPr>
    </w:p>
    <w:p w:rsidR="00192E99" w:rsidRDefault="003C0E0F" w:rsidP="00A908CD">
      <w:pPr>
        <w:ind w:right="-360"/>
      </w:pPr>
      <w:r w:rsidRPr="00875E81">
        <w:t>The Internal Revenue Service has announced the cost-of-living adjustment (COLA) for 201</w:t>
      </w:r>
      <w:r w:rsidR="004C301C" w:rsidRPr="00875E81">
        <w:t>8</w:t>
      </w:r>
      <w:r w:rsidRPr="00875E81">
        <w:t>. The dollar limitations for pension plans and selected other items are listed below. Certain annual compensation amounts were increased</w:t>
      </w:r>
      <w:r w:rsidR="004C301C" w:rsidRPr="00875E81">
        <w:t xml:space="preserve">, including the limit for elective deferrals, which have not been updated </w:t>
      </w:r>
      <w:r w:rsidRPr="00875E81">
        <w:t>since 2015. The Social Security Administration separately announced an increase to the taxable wage base</w:t>
      </w:r>
      <w:r w:rsidR="004C301C" w:rsidRPr="00875E81">
        <w:rPr>
          <w:b/>
          <w:color w:val="FFFFFF" w:themeColor="background1"/>
        </w:rPr>
        <w:t>2</w:t>
      </w:r>
      <w:r w:rsidRPr="00875E81">
        <w:t xml:space="preserve">. </w:t>
      </w:r>
    </w:p>
    <w:p w:rsidR="00875E81" w:rsidRPr="00875E81" w:rsidRDefault="00875E81" w:rsidP="00A908CD">
      <w:pPr>
        <w:ind w:right="-360"/>
      </w:pPr>
    </w:p>
    <w:tbl>
      <w:tblPr>
        <w:tblStyle w:val="TableGrid"/>
        <w:tblW w:w="9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0"/>
        <w:gridCol w:w="1070"/>
        <w:gridCol w:w="1070"/>
        <w:gridCol w:w="1070"/>
        <w:gridCol w:w="1070"/>
        <w:gridCol w:w="1070"/>
      </w:tblGrid>
      <w:tr w:rsidR="004C301C" w:rsidRPr="000F6702" w:rsidTr="00875E81">
        <w:trPr>
          <w:trHeight w:val="497"/>
        </w:trPr>
        <w:tc>
          <w:tcPr>
            <w:tcW w:w="3880" w:type="dxa"/>
            <w:tcBorders>
              <w:right w:val="nil"/>
            </w:tcBorders>
            <w:shd w:val="clear" w:color="auto" w:fill="548DD4" w:themeFill="text2" w:themeFillTint="99"/>
            <w:vAlign w:val="center"/>
          </w:tcPr>
          <w:p w:rsidR="004C301C" w:rsidRPr="000F6702" w:rsidRDefault="004C301C" w:rsidP="004C301C">
            <w:pPr>
              <w:rPr>
                <w:b/>
                <w:color w:val="FFFFFF" w:themeColor="background1"/>
              </w:rPr>
            </w:pPr>
            <w:r w:rsidRPr="000F6702">
              <w:rPr>
                <w:b/>
                <w:color w:val="FFFFFF" w:themeColor="background1"/>
              </w:rPr>
              <w:t>Code Section</w:t>
            </w:r>
          </w:p>
        </w:tc>
        <w:tc>
          <w:tcPr>
            <w:tcW w:w="1070" w:type="dxa"/>
            <w:shd w:val="clear" w:color="auto" w:fill="548DD4" w:themeFill="text2" w:themeFillTint="99"/>
            <w:vAlign w:val="center"/>
          </w:tcPr>
          <w:p w:rsidR="004C301C" w:rsidRPr="003C0E0F" w:rsidRDefault="004C301C" w:rsidP="004C301C">
            <w:pPr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>2018</w:t>
            </w:r>
          </w:p>
        </w:tc>
        <w:tc>
          <w:tcPr>
            <w:tcW w:w="1070" w:type="dxa"/>
            <w:tcBorders>
              <w:right w:val="nil"/>
            </w:tcBorders>
            <w:shd w:val="clear" w:color="auto" w:fill="548DD4" w:themeFill="text2" w:themeFillTint="99"/>
            <w:vAlign w:val="center"/>
          </w:tcPr>
          <w:p w:rsidR="004C301C" w:rsidRPr="003C0E0F" w:rsidRDefault="004C301C" w:rsidP="004C301C">
            <w:pPr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>2017</w:t>
            </w:r>
          </w:p>
        </w:tc>
        <w:tc>
          <w:tcPr>
            <w:tcW w:w="107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:rsidR="004C301C" w:rsidRPr="000F6702" w:rsidRDefault="004C301C" w:rsidP="004C301C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2016</w:t>
            </w:r>
          </w:p>
        </w:tc>
        <w:tc>
          <w:tcPr>
            <w:tcW w:w="107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:rsidR="004C301C" w:rsidRPr="000F6702" w:rsidRDefault="004C301C" w:rsidP="004C301C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2015</w:t>
            </w:r>
          </w:p>
        </w:tc>
        <w:tc>
          <w:tcPr>
            <w:tcW w:w="107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:rsidR="004C301C" w:rsidRPr="000F6702" w:rsidRDefault="004C301C" w:rsidP="004C301C">
            <w:pPr>
              <w:jc w:val="right"/>
              <w:rPr>
                <w:b/>
                <w:color w:val="FFFFFF" w:themeColor="background1"/>
              </w:rPr>
            </w:pPr>
            <w:r w:rsidRPr="000F6702">
              <w:rPr>
                <w:b/>
                <w:color w:val="FFFFFF" w:themeColor="background1"/>
              </w:rPr>
              <w:t>2014</w:t>
            </w:r>
          </w:p>
        </w:tc>
      </w:tr>
      <w:tr w:rsidR="004C301C" w:rsidTr="00875E81">
        <w:trPr>
          <w:trHeight w:val="490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401(a)(17)/404(l) Annual Compensation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$275,000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$270,000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$265,000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$265,000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$260,000</w:t>
            </w:r>
          </w:p>
        </w:tc>
      </w:tr>
      <w:tr w:rsidR="004C301C" w:rsidTr="00875E81">
        <w:trPr>
          <w:trHeight w:val="490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402(g)(1) Elective Deferrals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18,500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18,000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18,000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18,000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17,500</w:t>
            </w:r>
          </w:p>
        </w:tc>
      </w:tr>
      <w:tr w:rsidR="004C301C" w:rsidTr="00875E81">
        <w:trPr>
          <w:trHeight w:val="490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408(k)(2)(C) SEP Minimum Compensation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600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600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600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600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550</w:t>
            </w:r>
          </w:p>
        </w:tc>
      </w:tr>
      <w:tr w:rsidR="004C301C" w:rsidTr="00875E81">
        <w:trPr>
          <w:trHeight w:val="490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408(k)(3)(C) SEP Maximum Compensation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275,000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270,000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265,000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265,000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260,000</w:t>
            </w:r>
          </w:p>
        </w:tc>
      </w:tr>
      <w:tr w:rsidR="004C301C" w:rsidTr="00875E81">
        <w:trPr>
          <w:trHeight w:val="501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408(p)(2)(E) SIMPLE Maximum Contributions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12,500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12,500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12,500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12,500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12,000</w:t>
            </w:r>
          </w:p>
        </w:tc>
      </w:tr>
      <w:tr w:rsidR="004C301C" w:rsidTr="00875E81">
        <w:trPr>
          <w:trHeight w:val="700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409(o)(1)(C) ESOP Limits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1,105,000</w:t>
            </w:r>
          </w:p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220,000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1,080,000</w:t>
            </w:r>
          </w:p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215,000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1,070,000</w:t>
            </w:r>
          </w:p>
          <w:p w:rsidR="004C301C" w:rsidRPr="00875E81" w:rsidRDefault="004C301C" w:rsidP="004C301C">
            <w:pPr>
              <w:spacing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210,000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1,070,000</w:t>
            </w:r>
          </w:p>
          <w:p w:rsidR="004C301C" w:rsidRPr="00875E81" w:rsidRDefault="004C301C" w:rsidP="004C301C">
            <w:pPr>
              <w:spacing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210,000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1,050,000</w:t>
            </w:r>
          </w:p>
          <w:p w:rsidR="004C301C" w:rsidRPr="00875E81" w:rsidRDefault="004C301C" w:rsidP="004C301C">
            <w:pPr>
              <w:spacing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210,000</w:t>
            </w:r>
          </w:p>
        </w:tc>
      </w:tr>
      <w:tr w:rsidR="004C301C" w:rsidTr="00875E81">
        <w:trPr>
          <w:trHeight w:val="490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414(q)(1)(B) HCE Threshold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120,000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120,000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120,000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120,000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115,000</w:t>
            </w:r>
          </w:p>
        </w:tc>
      </w:tr>
      <w:tr w:rsidR="004C301C" w:rsidTr="00875E81">
        <w:trPr>
          <w:trHeight w:val="501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414(v)(2)(B)(i) Catch-up Contributions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6,000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6,000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6,000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6,000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5,500</w:t>
            </w:r>
          </w:p>
        </w:tc>
      </w:tr>
      <w:tr w:rsidR="004C301C" w:rsidTr="00875E81">
        <w:trPr>
          <w:trHeight w:val="490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414(v)(2)(B)(ii) Catch-up Contributions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3,000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3,000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3,000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3,000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2,500</w:t>
            </w:r>
          </w:p>
        </w:tc>
      </w:tr>
      <w:tr w:rsidR="004C301C" w:rsidTr="00875E81">
        <w:trPr>
          <w:trHeight w:val="490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415(b)(1)(A) DB Limits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220,000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215,000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210,000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210,000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210,000</w:t>
            </w:r>
          </w:p>
        </w:tc>
      </w:tr>
      <w:tr w:rsidR="004C301C" w:rsidTr="00875E81">
        <w:trPr>
          <w:trHeight w:val="490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415(c)(1)(A) DC Limits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55,000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54,000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53,000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53,000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52,000</w:t>
            </w:r>
          </w:p>
        </w:tc>
      </w:tr>
      <w:tr w:rsidR="004C301C" w:rsidTr="00875E81">
        <w:trPr>
          <w:trHeight w:val="490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416(i)(1)(A)(i) Key Employee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175,000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175,000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170,000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170,000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170,000</w:t>
            </w:r>
          </w:p>
        </w:tc>
      </w:tr>
      <w:tr w:rsidR="004C301C" w:rsidTr="00875E81">
        <w:trPr>
          <w:trHeight w:val="501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457(e)(15) Deferral Limits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18,500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18,000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18,000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18,000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17,500</w:t>
            </w:r>
          </w:p>
        </w:tc>
      </w:tr>
      <w:tr w:rsidR="004C301C" w:rsidTr="00875E81">
        <w:trPr>
          <w:trHeight w:val="490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1.61-21(f)(5)(i) Control Employee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110,000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105,000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105,000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105,000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105,000</w:t>
            </w:r>
          </w:p>
        </w:tc>
      </w:tr>
      <w:tr w:rsidR="004C301C" w:rsidTr="00875E81">
        <w:trPr>
          <w:trHeight w:val="490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1.61-21(f)(5)(iii) Control Employee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220,000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215,000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215,000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215,000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210,000</w:t>
            </w:r>
          </w:p>
        </w:tc>
      </w:tr>
      <w:tr w:rsidR="004C301C" w:rsidTr="00875E81">
        <w:trPr>
          <w:trHeight w:val="490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219(b)(5)(A) IRA Contribution Limit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5,500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5,500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5,500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5,500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5,500</w:t>
            </w:r>
          </w:p>
        </w:tc>
      </w:tr>
      <w:tr w:rsidR="004C301C" w:rsidTr="00875E81">
        <w:trPr>
          <w:trHeight w:val="68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219(b)(5)(B) IRA Catch-Up Contributions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1,000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1,000</w:t>
            </w:r>
          </w:p>
        </w:tc>
      </w:tr>
      <w:tr w:rsidR="004C301C" w:rsidTr="00875E81">
        <w:trPr>
          <w:trHeight w:val="490"/>
        </w:trPr>
        <w:tc>
          <w:tcPr>
            <w:tcW w:w="388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rPr>
                <w:sz w:val="18"/>
                <w:szCs w:val="19"/>
              </w:rPr>
            </w:pPr>
            <w:r w:rsidRPr="00875E81">
              <w:rPr>
                <w:rFonts w:cs="BlissPro-Regular"/>
                <w:sz w:val="18"/>
                <w:szCs w:val="19"/>
              </w:rPr>
              <w:t>Taxable Wage Base for Social Security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128,700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127,200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118,500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118,500</w:t>
            </w:r>
          </w:p>
        </w:tc>
        <w:tc>
          <w:tcPr>
            <w:tcW w:w="1070" w:type="dxa"/>
            <w:vAlign w:val="center"/>
          </w:tcPr>
          <w:p w:rsidR="004C301C" w:rsidRPr="00875E81" w:rsidRDefault="004C301C" w:rsidP="004C301C">
            <w:pPr>
              <w:spacing w:beforeLines="60" w:before="144" w:afterLines="60" w:after="144"/>
              <w:jc w:val="right"/>
              <w:rPr>
                <w:sz w:val="18"/>
                <w:szCs w:val="19"/>
              </w:rPr>
            </w:pPr>
            <w:r w:rsidRPr="00875E81">
              <w:rPr>
                <w:sz w:val="18"/>
                <w:szCs w:val="19"/>
              </w:rPr>
              <w:t>117,000</w:t>
            </w:r>
          </w:p>
        </w:tc>
      </w:tr>
    </w:tbl>
    <w:p w:rsidR="00192E99" w:rsidRDefault="00192E99" w:rsidP="00875E81"/>
    <w:sectPr w:rsidR="00192E99" w:rsidSect="00856642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is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FF"/>
    <w:rsid w:val="000F6702"/>
    <w:rsid w:val="00192E99"/>
    <w:rsid w:val="003764FF"/>
    <w:rsid w:val="003B4D9A"/>
    <w:rsid w:val="003C0E0F"/>
    <w:rsid w:val="00460343"/>
    <w:rsid w:val="004C301C"/>
    <w:rsid w:val="007B0BB1"/>
    <w:rsid w:val="00856642"/>
    <w:rsid w:val="00875E81"/>
    <w:rsid w:val="009D7ECC"/>
    <w:rsid w:val="00A908CD"/>
    <w:rsid w:val="00AD4DCB"/>
    <w:rsid w:val="00B170B4"/>
    <w:rsid w:val="00B76373"/>
    <w:rsid w:val="00C256B4"/>
    <w:rsid w:val="00E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C448C-1A4E-4714-9AE8-7176104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USA, LLP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Stipanuk</dc:creator>
  <cp:lastModifiedBy>Ronielle Lawhorne</cp:lastModifiedBy>
  <cp:revision>2</cp:revision>
  <cp:lastPrinted>2015-10-23T17:29:00Z</cp:lastPrinted>
  <dcterms:created xsi:type="dcterms:W3CDTF">2017-11-13T15:57:00Z</dcterms:created>
  <dcterms:modified xsi:type="dcterms:W3CDTF">2017-11-13T15:57:00Z</dcterms:modified>
</cp:coreProperties>
</file>